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271 InsO — Nachträgliche Anordnung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Beantragt die Gläubigerversammlung mit der in § 76 Absatz 2 genannten Mehrheit und der Mehrheit der abstimmenden Gläubiger die Eigenverwaltung, so ordnet das Gericht diese an, sofern der Schuldner zustimmt. Zum Sachwalter kann der bisherige Insolvenzverwalter bestellt werden.</w:t>
      </w:r>
    </w:p>
    <w:p>
      <w:r>
        <w:rPr>
          <w:color w:val="555555"/>
          <w:sz w:val="17"/>
        </w:rPr>
        <w:t xml:space="preserve">Zitiervorschlag: § 271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