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270f InsO — Anordnung der Eigenverwaltung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27.07.2022 (konsolidierte Textfassung, kein amtliches Inkrafttretensdatum)</w:t>
      </w:r>
    </w:p>
    <w:p>
      <w:r>
        <w:t xml:space="preserve">(1) Die Eigenverwaltung wird auf Antrag des Schuldners angeordnet, es sei denn, eine vorläufige Eigenverwaltung wäre nach § 270b nicht anzuordnen oder nach § 270e aufzuheben.</w:t>
      </w:r>
    </w:p>
    <w:p>
      <w:r>
        <w:t xml:space="preserve">(2) Anstelle eines Insolvenzverwalters wird ein Sachwalter bestellt. Die Forderungen der Insolvenzgläubiger sind beim Sachwalter anzumelden. Die §§ 32 und 33 sind nicht anzuwenden.</w:t>
      </w:r>
    </w:p>
    <w:p>
      <w:r>
        <w:t xml:space="preserve">(3) § 270b Absatz 3 und 4 ist entsprechend anzuwenden.</w:t>
      </w:r>
    </w:p>
    <w:p>
      <w:r>
        <w:rPr>
          <w:color w:val="555555"/>
          <w:sz w:val="17"/>
        </w:rPr>
        <w:t xml:space="preserve">Zitiervorschlag: § 270f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https://recht.nulegal.eu/gesetze/InsO/270f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