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270c InsO — Vorläufiges Eigenverwaltungsverfahren</w:t>
      </w:r>
    </w:p>
    <w:p>
      <w:r>
        <w:rPr>
          <w:color w:val="555555"/>
          <w:sz w:val="18"/>
        </w:rPr>
        <w:t xml:space="preserve">Insolvenzordnung</w:t>
      </w:r>
    </w:p>
    <w:p>
      <w:r>
        <w:rPr>
          <w:color w:val="555555"/>
          <w:sz w:val="18"/>
        </w:rPr>
        <w:t xml:space="preserve">Stand: 01.01.2021 (konsolidierte Textfassung, kein amtliches Inkrafttretensdatum)</w:t>
      </w:r>
    </w:p>
    <w:p>
      <w:r>
        <w:t xml:space="preserve">(1) Das Gericht kann den vorläufigen Sachwalter beauftragten, Bericht zu erstatten über</w:t>
      </w:r>
    </w:p>
    <w:p>
      <w:pPr>
        <w:ind w:left="420"/>
      </w:pPr>
      <w:r>
        <w:t xml:space="preserve">1. die vom Schuldner vorgelegte Eigenverwaltungsplanung, insbesondere, ob diese von den erkannten und erkennbaren tatsächlichen Gegebenheiten ausgeht, schlüssig ist und durchführbar erscheint,</w:t>
      </w:r>
    </w:p>
    <w:p>
      <w:pPr>
        <w:ind w:left="420"/>
      </w:pPr>
      <w:r>
        <w:t xml:space="preserve">2. die Vollständigkeit und Geeignetheit der Rechnungslegung und Buchführung als Grundlage für die Eigenverwaltungsplanung, insbesondere für die Finanzplanung,</w:t>
      </w:r>
    </w:p>
    <w:p>
      <w:pPr>
        <w:ind w:left="420"/>
      </w:pPr>
      <w:r>
        <w:t xml:space="preserve">3. das Bestehen von Haftungsansprüchen des Schuldners gegen amtierende oder ehemalige Mitglieder der Organe.</w:t>
      </w:r>
    </w:p>
    <w:p>
      <w:r>
        <w:t xml:space="preserve">(2) Der Schuldner hat dem Gericht und dem vorläufigen Sachwalter unverzüglich wesentliche Änderungen mitzuteilen, welche die Eigenverwaltungsplanung betreffen.</w:t>
      </w:r>
    </w:p>
    <w:p>
      <w:r>
        <w:t xml:space="preserve">(3) Das Gericht kann vorläufige Maßnahmen nach § 21 Absatz 1 und 2 Satz 1 Nummer 1a, 3 bis 5 anordnen. Ordnet das Gericht die vorläufige Eigenverwaltung nach § 270b Absatz 1 Satz 2 an, kann es zudem anordnen, dass Verfügungen des Schuldners der Zustimmung durch den vorläufigen Sachwalter bedürfen.</w:t>
      </w:r>
    </w:p>
    <w:p>
      <w:r>
        <w:t xml:space="preserve">(4) Auf Antrag des Schuldners hat das Gericht anzuordnen, dass der Schuldner Masseverbindlichkeiten begründet. Soll sich die Ermächtigung auf Verbindlichkeiten erstrecken, die im Finanzplan nicht berücksichtigt sind, bedarf dies einer besonderen Begründung. § 55 Absatz 2 gilt entsprechend.</w:t>
      </w:r>
    </w:p>
    <w:p>
      <w:r>
        <w:t xml:space="preserve">(5) Hat der Schuldner den Eröffnungsantrag bei drohender Zahlungsunfähigkeit gestellt und die Eigenverwaltung beantragt, sieht das Gericht jedoch die Voraussetzungen der Eigenverwaltung als nicht gegeben an, so hat es seine Bedenken dem Schuldner mitzuteilen und diesem Gelegenheit zu geben, den Eröffnungsantrag vor der Entscheidung über die Eröffnung zurückzunehmen.</w:t>
      </w:r>
    </w:p>
    <w:p>
      <w:r>
        <w:rPr>
          <w:color w:val="555555"/>
          <w:sz w:val="17"/>
        </w:rPr>
        <w:t xml:space="preserve">Zitiervorschlag: § 270c InsO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https://recht.nulegal.eu/gesetze/InsO/270c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