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270b InsO — Anordnung der vorläufigen Eigenverwaltung</w:t>
      </w:r>
    </w:p>
    <w:p>
      <w:r>
        <w:rPr>
          <w:color w:val="555555"/>
          <w:sz w:val="18"/>
        </w:rPr>
        <w:t xml:space="preserve">Insolvenzordnung</w:t>
      </w:r>
    </w:p>
    <w:p>
      <w:r>
        <w:rPr>
          <w:color w:val="555555"/>
          <w:sz w:val="18"/>
        </w:rPr>
        <w:t xml:space="preserve">Stand: 27.07.2022 (konsolidierte Textfassung, kein amtliches Inkrafttretensdatum)</w:t>
      </w:r>
    </w:p>
    <w:p>
      <w:r>
        <w:t xml:space="preserve">(1) Das Gericht bestellt einen vorläufigen Sachwalter, auf den die §§ 274 und 275 anzuwenden sind (vorläufige Eigenverwaltung), wenn</w:t>
      </w:r>
    </w:p>
    <w:p>
      <w:pPr>
        <w:ind w:left="420"/>
      </w:pPr>
      <w:r>
        <w:t xml:space="preserve">1. die Eigenverwaltungsplanung des Schuldners vollständig und schlüssig ist und</w:t>
      </w:r>
    </w:p>
    <w:p>
      <w:pPr>
        <w:ind w:left="420"/>
      </w:pPr>
      <w:r>
        <w:t xml:space="preserve">2. keine Umstände bekannt sind, aus denen sich ergibt, dass die Eigenverwaltungsplanung in wesentlichen Punkten auf unzutreffenden Tatsachen beruht.</w:t>
      </w:r>
    </w:p>
    <w:p>
      <w:r>
        <w:t xml:space="preserve">Weist die Eigenverwaltungsplanung behebbare Mängel auf, kann das Gericht die vorläufige Eigenverwaltung einstweilen anordnen; in diesem Fall setzt es dem Schuldner eine Frist zur Nachbesserung, die 20 Tage nicht übersteigt.</w:t>
      </w:r>
    </w:p>
    <w:p>
      <w:r>
        <w:t xml:space="preserve">(2) Sind nach dem gemäß § 270a Absatz 1 Nummer 1 übermittelten Finanzplan die Kosten der Eigenverwaltung und der Fortführung des gewöhnlichen Geschäftsbetriebs nicht gedeckt, übersteigen die nach § 270a Absatz 1 Nummer 5 ausgewiesenen voraussichtlichen Kosten der Eigenverwaltung in wesentlicher Weise die voraussichtlichen Kosten des Regelverfahrens oder sind Umstände bekannt, aus denen sich ergibt, dass</w:t>
      </w:r>
    </w:p>
    <w:p>
      <w:pPr>
        <w:ind w:left="420"/>
      </w:pPr>
      <w:r>
        <w:t xml:space="preserve">1. Zahlungsrückstände gegenüber Arbeitnehmern oder erhebliche Zahlungsrückstände gegenüber den weiteren in § 270a Absatz 2 Nummer 1 genannten Gläubigern bestehen,</w:t>
      </w:r>
    </w:p>
    <w:p>
      <w:pPr>
        <w:ind w:left="420"/>
      </w:pPr>
      <w:r>
        <w:t xml:space="preserve">2. zugunsten des Schuldners in den letzten drei Jahren vor der Stellung des Antrags Vollstreckungs- oder Verwertungssperren nach diesem Gesetz oder nach dem Unternehmensstabilisierungs- und -restrukturierungsgesetz angeordnet worden sind oder</w:t>
      </w:r>
    </w:p>
    <w:p>
      <w:pPr>
        <w:ind w:left="420"/>
      </w:pPr>
      <w:r>
        <w:t xml:space="preserve">3. der Schuldner in einem der letzten drei Jahre vor der Antragstellung gegen die Offenlegungsverpflichtungen, insbesondere nach den §§ 325 bis 328 oder 339 des Handelsgesetzbuchs verstoßen hat,</w:t>
      </w:r>
    </w:p>
    <w:p>
      <w:r>
        <w:t xml:space="preserve">erfolgt die Bestellung des vorläufigen Sachwalters nur, wenn trotz dieser Umstände zu erwarten ist, dass der Schuldner bereit und in der Lage ist, seine Geschäftsführung an den Interessen der Gläubiger auszurichten.</w:t>
      </w:r>
    </w:p>
    <w:p>
      <w:r>
        <w:t xml:space="preserve">(3) Einem vorläufigen Gläubigerausschuss ist vor Erlass der Entscheidung nach Absatz 1 oder Absatz 2 Gelegenheit zur Äußerung zu geben. Ohne Äußerung des Gläubigerausschusses darf eine Entscheidung nur ergehen, wenn seit der Antragstellung zwei Werktage vergangen sind oder wenn offensichtlich mit nachteiligen Veränderungen der Vermögenslage des Schuldners zu rechnen ist, die sich nicht anders als durch Bestellung eines vorläufigen Insolvenzverwalters abwenden lassen. An einen die vorläufige Eigenverwaltung unterstützenden einstimmigen Beschluss des vorläufigen Gläubigerausschusses ist das Gericht gebunden. Stimmt der vorläufige Gläubigerausschuss einstimmig gegen die vorläufige Eigenverwaltung, unterbleibt die Anordnung.</w:t>
      </w:r>
    </w:p>
    <w:p>
      <w:r>
        <w:t xml:space="preserve">(4) Bestellt das Gericht einen vorläufigen Insolvenzverwalter, sind die Gründe hierfür schriftlich darzulegen. § 27 Absatz 2 Nummer 4 gilt entsprechend.</w:t>
      </w:r>
    </w:p>
    <w:p>
      <w:r>
        <w:rPr>
          <w:color w:val="555555"/>
          <w:sz w:val="17"/>
        </w:rPr>
        <w:t xml:space="preserve">Zitiervorschlag: § 270b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