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InsO — Eröffnungsbeschluß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Wird das Insolvenzverfahren eröffnet, so ernennt das Insolvenzgericht einen Insolvenzverwalter. § 270 bleibt unberührt.</w:t>
      </w:r>
    </w:p>
    <w:p>
      <w:r>
        <w:t xml:space="preserve">(2) Der Eröffnungsbeschluß enthält:</w:t>
      </w:r>
    </w:p>
    <w:p>
      <w:pPr>
        <w:ind w:left="420"/>
      </w:pPr>
      <w:r>
        <w:t xml:space="preserve">1. Firma oder Namen und Vornamen, Geburtsdatum, Registergericht und Registernummer, unter der der Schuldner eingetragen ist, Geschäftszweig oder Beschäftigung, gewerbliche Niederlassung oder Wohnung des Schuldners;</w:t>
      </w:r>
    </w:p>
    <w:p>
      <w:pPr>
        <w:ind w:left="420"/>
      </w:pPr>
      <w:r>
        <w:t xml:space="preserve">2. Namen und Anschrift des Insolvenzverwalters;</w:t>
      </w:r>
    </w:p>
    <w:p>
      <w:pPr>
        <w:ind w:left="420"/>
      </w:pPr>
      <w:r>
        <w:t xml:space="preserve">3. die Stunde der Eröffnung;</w:t>
      </w:r>
    </w:p>
    <w:p>
      <w:pPr>
        <w:ind w:left="420"/>
      </w:pPr>
      <w:r>
        <w:t xml:space="preserve">4. die Gründe, aus denen das Gericht von einem einstimmigen Vorschlag des vorläufigen Gläubigerausschusses zur Person des Verwalters abgewichen ist; dabei ist der Name der vorgeschlagenen Person nicht zu nennen;</w:t>
      </w:r>
    </w:p>
    <w:p>
      <w:pPr>
        <w:ind w:left="420"/>
      </w:pPr>
      <w:r>
        <w:t xml:space="preserve">5. eine abstrakte Darstellung der für personenbezogene Daten geltenden Löschungsfristen nach § 3 der Verordnung zu öffentlichen Bekanntmachungen in Insolvenzverfahren im Internet vom 12. Februar 2002 (BGBl. I S. 677), die zuletzt durch Artikel 2 des Gesetzes vom 13. April 2007 (BGBl. I S. 509) geändert worden ist.</w:t>
      </w:r>
    </w:p>
    <w:p>
      <w:r>
        <w:t xml:space="preserve">(3) Ist die Stunde der Eröffnung nicht angegeben, so gilt als Zeitpunkt der Eröffnung die Mittagsstunde des Tages, an dem der Beschluß erlassen worden ist.</w:t>
      </w:r>
    </w:p>
    <w:p>
      <w:r>
        <w:rPr>
          <w:color w:val="555555"/>
          <w:sz w:val="17"/>
        </w:rPr>
        <w:t xml:space="preserve">Zitiervorschlag: § 27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