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269i InsO — Abweichungen vom Koordinationsplan</w:t>
      </w:r>
    </w:p>
    <w:p>
      <w:r>
        <w:rPr>
          <w:color w:val="555555"/>
          <w:sz w:val="18"/>
        </w:rPr>
        <w:t xml:space="preserve">Insolvenzordnung</w:t>
      </w:r>
    </w:p>
    <w:p>
      <w:r>
        <w:rPr>
          <w:color w:val="555555"/>
          <w:sz w:val="18"/>
        </w:rPr>
        <w:t xml:space="preserve">Stand: 10.06.2019 (konsolidierte Textfassung, kein amtliches Inkrafttretensdatum)</w:t>
      </w:r>
    </w:p>
    <w:p>
      <w:r>
        <w:t xml:space="preserve">(1) Der Insolvenzverwalter eines gruppenangehörigen Schuldners hat im Berichtstermin den Koordinationsplan zu erläutern, wenn dies nicht durch den Verfahrenskoordinator oder eine von diesem bevollmächtigte Person erfolgt. Der Insolvenzverwalter hat im Anschluss an die Erläuterung zu begründen, von welchen im Plan beschriebenen Maßnahmen er abweichen will. Liegt zum Zeitpunkt des Berichtstermins noch kein Koordinationsplan vor, so kommt der Insolvenzverwalter seinen Pflichten nach den Sätzen 1 und 2 in einer Gläubigerversammlung nach, für die das Insolvenzgericht alsbald einen Termin bestimmt.</w:t>
      </w:r>
    </w:p>
    <w:p>
      <w:r>
        <w:t xml:space="preserve">(2) Auf Beschluss der Gläubigerversammlung ist der Koordinationsplan einem vom Insolvenzverwalter auszuarbeitenden Insolvenzplan zugrunde zu legen.</w:t>
      </w:r>
    </w:p>
    <w:p>
      <w:r>
        <w:rPr>
          <w:color w:val="555555"/>
          <w:sz w:val="17"/>
        </w:rPr>
        <w:t xml:space="preserve">Zitiervorschlag: § 269i InsO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https://recht.nulegal.eu/gesetze/InsO/269i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