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266 InsO — Berücksichtigung des Nachrangs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Nachrang der Insolvenzgläubiger und der in § 265 bezeichneten Gläubiger wird nur in einem Insolvenzverfahren berücksichtigt, das vor der Aufhebung der Überwachung eröffnet wird.</w:t>
      </w:r>
    </w:p>
    <w:p>
      <w:r>
        <w:t xml:space="preserve">(2) In diesem neuen Insolvenzverfahren gehen diese Gläubiger den übrigen nachrangigen Gläubigern im Range vor.</w:t>
      </w:r>
    </w:p>
    <w:p>
      <w:r>
        <w:rPr>
          <w:color w:val="555555"/>
          <w:sz w:val="17"/>
        </w:rPr>
        <w:t xml:space="preserve">Zitiervorschlag: § 266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