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InsO — Nachrang von Neugläubigern</w:t>
      </w:r>
    </w:p>
    <w:p>
      <w:r>
        <w:rPr>
          <w:color w:val="555555"/>
          <w:sz w:val="18"/>
        </w:rPr>
        <w:t xml:space="preserve">Insolvenzordnung</w:t>
      </w:r>
    </w:p>
    <w:p>
      <w:r>
        <w:rPr>
          <w:color w:val="555555"/>
          <w:sz w:val="18"/>
        </w:rPr>
        <w:t xml:space="preserve">Stand: 10.06.2019 (konsolidierte Textfassung, kein amtliches Inkrafttretensdatum)</w:t>
      </w:r>
    </w:p>
    <w:p>
      <w:r>
        <w:t xml:space="preserve">Gegenüber den Gläubigern mit Forderungen aus Krediten, die nach Maßgabe des § 264 aufgenommen oder stehen gelassen werden, sind nachrangig auch die Gläubiger mit sonstigen vertraglichen Ansprüchen, die während der Zeit der Überwachung begründet werden. Als solche Ansprüche gelten auch die Ansprüche aus einem vor der Überwachung vertraglich begründeten Dauerschuldverhältnis für die Zeit nach dem ersten Termin, zu dem der Gläubiger nach Beginn der Überwachung kündigen konnte.</w:t>
      </w:r>
    </w:p>
    <w:p>
      <w:r>
        <w:rPr>
          <w:color w:val="555555"/>
          <w:sz w:val="17"/>
        </w:rPr>
        <w:t xml:space="preserve">Zitiervorschlag: § 265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