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262 InsO — Anzeigepflicht des Insolvenzverwalters</w:t>
      </w:r>
    </w:p>
    <w:p>
      <w:r>
        <w:rPr>
          <w:color w:val="555555"/>
          <w:sz w:val="18"/>
        </w:rPr>
        <w:t xml:space="preserve">Insolvenzordnung</w:t>
      </w:r>
    </w:p>
    <w:p>
      <w:r>
        <w:rPr>
          <w:color w:val="555555"/>
          <w:sz w:val="18"/>
        </w:rPr>
        <w:t xml:space="preserve">Stand: 10.06.2019 (konsolidierte Textfassung, kein amtliches Inkrafttretensdatum)</w:t>
      </w:r>
    </w:p>
    <w:p>
      <w:r>
        <w:t xml:space="preserve">Stellt der Insolvenzverwalter fest, daß Ansprüche, deren Erfüllung überwacht wird, nicht erfüllt werden oder nicht erfüllt werden können, so hat er dies unverzüglich dem Gläubigerausschuß und dem Insolvenzgericht anzuzeigen. Ist ein Gläubigerausschuß nicht bestellt, so hat der Verwalter an dessen Stelle alle Gläubiger zu unterrichten, denen nach dem gestaltenden Teil des Insolvenzplans Ansprüche gegen den Schuldner oder die Übernahmegesellschaft zustehen.</w:t>
      </w:r>
    </w:p>
    <w:p>
      <w:r>
        <w:rPr>
          <w:color w:val="555555"/>
          <w:sz w:val="17"/>
        </w:rPr>
        <w:t xml:space="preserve">Zitiervorschlag: § 262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