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259b InsO — Besondere Verjährungsfrist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Forderung eines Insolvenzgläubigers, die nicht bis zum Abstimmungstermin angemeldet worden ist, verjährt in einem Jahr.</w:t>
      </w:r>
    </w:p>
    <w:p>
      <w:r>
        <w:t xml:space="preserve">(2) Die Verjährungsfrist beginnt, wenn die Forderung fällig und der Beschluss rechtskräftig ist, durch den der Insolvenzplan bestätigt wurde.</w:t>
      </w:r>
    </w:p>
    <w:p>
      <w:r>
        <w:t xml:space="preserve">(3) Die Absätze 1 und 2 sind nur anzuwenden, wenn dadurch die Verjährung einer Forderung früher vollendet wird als bei Anwendung der ansonsten geltenden Verjährungsvorschriften.</w:t>
      </w:r>
    </w:p>
    <w:p>
      <w:r>
        <w:t xml:space="preserve">(4) Die Verjährung einer Forderung eines Insolvenzgläubigers ist gehemmt, solange wegen Vollstreckungsschutzes nach § 259a nicht vollstreckt werden darf. Die Hemmung endet drei Monate nach Beendigung des Vollstreckungsschutzes.</w:t>
      </w:r>
    </w:p>
    <w:p>
      <w:r>
        <w:rPr>
          <w:color w:val="555555"/>
          <w:sz w:val="17"/>
        </w:rPr>
        <w:t xml:space="preserve">Zitiervorschlag: § 259b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https://recht.nulegal.eu/gesetze/InsO/259b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