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259 InsO — Wirkungen der Aufhebung</w:t>
      </w:r>
    </w:p>
    <w:p>
      <w:r>
        <w:rPr>
          <w:color w:val="555555"/>
          <w:sz w:val="18"/>
        </w:rPr>
        <w:t xml:space="preserve">Insolvenzordnung</w:t>
      </w:r>
    </w:p>
    <w:p>
      <w:r>
        <w:rPr>
          <w:color w:val="555555"/>
          <w:sz w:val="18"/>
        </w:rPr>
        <w:t xml:space="preserve">Stand: 10.06.2019 (konsolidierte Textfassung, kein amtliches Inkrafttretensdatum)</w:t>
      </w:r>
    </w:p>
    <w:p>
      <w:r>
        <w:t xml:space="preserve">(1) Mit der Aufhebung des Insolvenzverfahrens erlöschen die Ämter des Insolvenzverwalters und der Mitglieder des Gläubigerausschusses. Der Schuldner erhält das Recht zurück, über die Insolvenzmasse frei zu verfügen.</w:t>
      </w:r>
    </w:p>
    <w:p>
      <w:r>
        <w:t xml:space="preserve">(2) Die Vorschriften über die Überwachung der Planerfüllung bleiben unberührt.</w:t>
      </w:r>
    </w:p>
    <w:p>
      <w:r>
        <w:t xml:space="preserve">(3) Einen anhängigen Rechtsstreit, der die Insolvenzanfechtung zum Gegenstand hat, kann der Verwalter auch nach der Aufhebung des Verfahrens fortführen, wenn dies im gestaltenden Teil des Plans vorgesehen ist. In diesem Fall wird der Rechtsstreit für Rechnung des Schuldners geführt, wenn im Plan keine abweichende Regelung getroffen wird.</w:t>
      </w:r>
    </w:p>
    <w:p>
      <w:r>
        <w:rPr>
          <w:color w:val="555555"/>
          <w:sz w:val="17"/>
        </w:rPr>
        <w:t xml:space="preserve">Zitiervorschlag: § 259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