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InsO — Aufhebung des Insolvenzverfahrens</w:t>
      </w:r>
    </w:p>
    <w:p>
      <w:r>
        <w:rPr>
          <w:color w:val="555555"/>
          <w:sz w:val="18"/>
        </w:rPr>
        <w:t xml:space="preserve">Insolvenzordnung</w:t>
      </w:r>
    </w:p>
    <w:p>
      <w:r>
        <w:rPr>
          <w:color w:val="555555"/>
          <w:sz w:val="18"/>
        </w:rPr>
        <w:t xml:space="preserve">Stand: 01.01.2021 (konsolidierte Textfassung, kein amtliches Inkrafttretensdatum)</w:t>
      </w:r>
    </w:p>
    <w:p>
      <w:r>
        <w:t xml:space="preserve">(1) Sobald die Bestätigung des Insolvenzplans rechtskräftig ist und der Insolvenzplan nicht etwas anderes vorsieht, beschließt das Insolvenzgericht die Aufhebung des Insolvenzverfahrens.</w:t>
      </w:r>
    </w:p>
    <w:p>
      <w:r>
        <w:t xml:space="preserve">(2) Vor der Aufhebung hat der Verwalter die unstreitigen fälligen Masseansprüche zu berichtigen und für die streitigen oder nicht fälligen Sicherheit zu leisten. Für die nicht fälligen Masseansprüche kann auch ein Finanzplan vorgelegt werden, aus dem sich ergibt, dass ihre Erfüllung gewährleistet ist.</w:t>
      </w:r>
    </w:p>
    <w:p>
      <w:r>
        <w:t xml:space="preserve">(3) Der Beschluss enthält den Zeitpunkt der Aufhebung, der frühestens zwei Tage nach der Beschlussfassung liegen soll. Der Beschluss und der Grund der Aufhebung sind öffentlich bekanntzumachen. Der Schuldner, der Insolvenzverwalter und die Mitglieder des Gläubigerausschusses sind vorab über den Zeitpunkt der Aufhebung zu unterrichten. Die §§ 31 bis 33 gelten entsprechend. Ist der Zeitpunkt der Aufhebung nicht angegeben, wird die Aufhebung wirksam, sobald nach dem Tag der Veröffentlichung zwei weitere Tage verstrichen sind.</w:t>
      </w:r>
    </w:p>
    <w:p>
      <w:r>
        <w:rPr>
          <w:color w:val="555555"/>
          <w:sz w:val="17"/>
        </w:rPr>
        <w:t xml:space="preserve">Zitiervorschlag: § 258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