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256 InsO — Streitige Forderungen. Ausfallforderungen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(1) Ist eine Forderung im Prüfungstermin bestritten worden oder steht die Höhe der Ausfallforderung eines absonderungsberechtigten Gläubigers noch nicht fest, so ist ein Rückstand mit der Erfüllung des Insolvenzplans im Sinne des § 255 Abs. 1 nicht anzunehmen, wenn der Schuldner die Forderung bis zur endgültigen Feststellung ihrer Höhe in dem Ausmaß berücksichtigt, das der Entscheidung des Insolvenzgerichts über das Stimmrecht des Gläubigers bei der Abstimmung über den Plan entspricht. Ist keine Entscheidung über das Stimmrecht getroffen worden, so hat das Gericht auf Antrag des Schuldners oder des Gläubigers nachträglich festzustellen, in welchem Ausmaß der Schuldner vorläufig die Forderung zu berücksichtigen hat.</w:t>
      </w:r>
    </w:p>
    <w:p>
      <w:r>
        <w:t xml:space="preserve">(2) Ergibt die endgültige Feststellung, daß der Schuldner zuwenig gezahlt hat, so hat er das Fehlende nachzuzahlen. Ein erheblicher Rückstand mit der Erfüllung des Plans ist erst anzunehmen, wenn der Schuldner das Fehlende nicht nachzahlt, obwohl der Gläubiger ihn schriftlich gemahnt und ihm dabei eine mindestens zweiwöchige Nachfrist gesetzt hat.</w:t>
      </w:r>
    </w:p>
    <w:p>
      <w:r>
        <w:t xml:space="preserve">(3) Ergibt die endgültige Feststellung, daß der Schuldner zuviel gezahlt hat, so kann er den Mehrbetrag nur insoweit zurückfordern, als dieser auch den nicht fälligen Teil der Forderung übersteigt, die dem Gläubiger nach dem Insolvenzplan zusteht.</w:t>
      </w:r>
    </w:p>
    <w:p>
      <w:r>
        <w:rPr>
          <w:color w:val="555555"/>
          <w:sz w:val="17"/>
        </w:rPr>
        <w:t xml:space="preserve">Zitiervorschlag: § 256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