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255 InsO — Wiederauflebensklausel</w:t>
      </w:r>
    </w:p>
    <w:p>
      <w:r>
        <w:rPr>
          <w:color w:val="555555"/>
          <w:sz w:val="18"/>
        </w:rPr>
        <w:t xml:space="preserve">Insolvenzordnung</w:t>
      </w:r>
    </w:p>
    <w:p>
      <w:r>
        <w:rPr>
          <w:color w:val="555555"/>
          <w:sz w:val="18"/>
        </w:rPr>
        <w:t xml:space="preserve">Stand: 10.06.2019 (konsolidierte Textfassung, kein amtliches Inkrafttretensdatum)</w:t>
      </w:r>
    </w:p>
    <w:p>
      <w:r>
        <w:t xml:space="preserve">(1) Sind auf Grund des gestaltenden Teils des Insolvenzplans Forderungen von Insolvenzgläubigern gestundet oder teilweise erlassen worden, so wird die Stundung oder der Erlaß für den Gläubiger hinfällig, gegenüber dem der Schuldner mit der Erfüllung des Plans erheblich in Rückstand gerät. Ein erheblicher Rückstand ist erst anzunehmen, wenn der Schuldner eine fällige Verbindlichkeit nicht bezahlt hat, obwohl der Gläubiger ihn schriftlich gemahnt und ihm dabei eine mindestens zweiwöchige Nachfrist gesetzt hat.</w:t>
      </w:r>
    </w:p>
    <w:p>
      <w:r>
        <w:t xml:space="preserve">(2) Wird vor vollständiger Erfüllung des Plans über das Vermögen des Schuldners ein neues Insolvenzverfahren eröffnet, so ist die Stundung oder der Erlaß für alle Insolvenzgläubiger hinfällig.</w:t>
      </w:r>
    </w:p>
    <w:p>
      <w:r>
        <w:t xml:space="preserve">(3) Im Plan kann etwas anderes vorgesehen werden. Jedoch kann von Absatz 1 nicht zum Nachteil des Schuldners abgewichen werden.</w:t>
      </w:r>
    </w:p>
    <w:p>
      <w:r>
        <w:rPr>
          <w:color w:val="555555"/>
          <w:sz w:val="17"/>
        </w:rPr>
        <w:t xml:space="preserve">Zitiervorschlag: § 255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