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254b InsO — Wirkung für alle Beteiligten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§§ 254 und 254a gelten auch für Insolvenzgläubiger, die ihre Forderungen nicht angemeldet haben, und für Beteiligte, die dem Insolvenzplan widersprochen haben.</w:t>
      </w:r>
    </w:p>
    <w:p>
      <w:r>
        <w:rPr>
          <w:color w:val="555555"/>
          <w:sz w:val="17"/>
        </w:rPr>
        <w:t xml:space="preserve">Zitiervorschlag: § 254b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https://recht.nulegal.eu/gesetze/InsO/254b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