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254a InsO — Rechte an Gegenständen. Sonstige Wirkungen des Plans</w:t>
      </w:r>
    </w:p>
    <w:p>
      <w:r>
        <w:rPr>
          <w:color w:val="555555"/>
          <w:sz w:val="18"/>
        </w:rPr>
        <w:t xml:space="preserve">Insolvenzordnung</w:t>
      </w:r>
    </w:p>
    <w:p>
      <w:r>
        <w:rPr>
          <w:color w:val="555555"/>
          <w:sz w:val="18"/>
        </w:rPr>
        <w:t xml:space="preserve">Stand: 10.06.2019 (konsolidierte Textfassung, kein amtliches Inkrafttretensdatum)</w:t>
      </w:r>
    </w:p>
    <w:p>
      <w:r>
        <w:t xml:space="preserve">(1) Wenn Rechte an Gegenständen begründet, geändert, übertragen oder aufgehoben oder Geschäftsanteile an einer Gesellschaft mit beschränkter Haftung abgetreten werden sollen, gelten die in den Insolvenzplan aufgenommenen Willenserklärungen der Beteiligten als in der vorgeschriebenen Form abgegeben.</w:t>
      </w:r>
    </w:p>
    <w:p>
      <w:r>
        <w:t xml:space="preserve">(2) Wenn die Anteils- oder Mitgliedschaftsrechte der am Schuldner beteiligten Personen in den Plan einbezogen sind (§ 225a), gelten die in den Plan aufgenommenen Beschlüsse der Anteilsinhaber oder sonstigen Willenserklärungen der Beteiligten als in der vorgeschriebenen Form abgegeben. Gesellschaftsrechtlich erforderliche Ladungen, Bekanntmachungen und sonstige Maßnahmen zur Vorbereitung von Beschlüssen der Anteilsinhaber gelten als in der vorgeschriebenen Form bewirkt. Der Insolvenzverwalter ist berechtigt, die erforderlichen Anmeldungen beim jeweiligen Registergericht vorzunehmen.</w:t>
      </w:r>
    </w:p>
    <w:p>
      <w:r>
        <w:t xml:space="preserve">(3) Entsprechendes gilt für die in den Plan aufgenommenen Verpflichtungserklärungen, die einer Maßnahme nach Absatz 1 oder 2 zugrunde liegen.</w:t>
      </w:r>
    </w:p>
    <w:p>
      <w:r>
        <w:rPr>
          <w:color w:val="555555"/>
          <w:sz w:val="17"/>
        </w:rPr>
        <w:t xml:space="preserve">Zitiervorschlag: § 254a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https://recht.nulegal.eu/gesetze/InsO/254a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