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254 InsO — Allgemeine Wirkungen des Plans</w:t>
      </w:r>
    </w:p>
    <w:p>
      <w:r>
        <w:rPr>
          <w:color w:val="555555"/>
          <w:sz w:val="18"/>
        </w:rPr>
        <w:t xml:space="preserve">Insolvenzordnung</w:t>
      </w:r>
    </w:p>
    <w:p>
      <w:r>
        <w:rPr>
          <w:color w:val="555555"/>
          <w:sz w:val="18"/>
        </w:rPr>
        <w:t xml:space="preserve">Stand: 01.01.2021 (konsolidierte Textfassung, kein amtliches Inkrafttretensdatum)</w:t>
      </w:r>
    </w:p>
    <w:p>
      <w:r>
        <w:t xml:space="preserve">(1) Mit der Rechtskraft der Bestätigung des Insolvenzplans treten die im gestaltenden Teil festgelegten Wirkungen für und gegen alle Beteiligten ein.</w:t>
      </w:r>
    </w:p>
    <w:p>
      <w:r>
        <w:t xml:space="preserve">(2) Die Rechte der Insolvenzgläubiger gegen Mitschuldner und Bürgen des Schuldners sowie die Rechte dieser Gläubiger an Gegenständen, die nicht zur Insolvenzmasse gehören, oder aus einer Vormerkung, die sich auf solche Gegenstände bezieht, werden mit Ausnahme der nach § 223a gestalteten Rechte aus gruppeninternen Drittsicherheiten (§ 217 Absatz 2) durch den Plan nicht berührt. Der Schuldner wird jedoch durch den Plan gegenüber dem Mitschuldner, dem Bürgen oder anderen Rückgriffsberechtigten in gleicher Weise befreit wie gegenüber dem Gläubiger.</w:t>
      </w:r>
    </w:p>
    <w:p>
      <w:r>
        <w:t xml:space="preserve">(3) Ist ein Gläubiger weitergehend befriedigt worden, als er nach dem Plan zu beanspruchen hat, so begründet dies keine Pflicht zur Rückgewähr des Erlangten.</w:t>
      </w:r>
    </w:p>
    <w:p>
      <w:r>
        <w:t xml:space="preserve">(4) Werden Forderungen von Gläubigern in Anteils- oder Mitgliedschaftsrechte am Schuldner umgewandelt, kann der Schuldner nach der gerichtlichen Bestätigung keine Ansprüche wegen einer Überbewertung der Forderungen im Plan gegen die bisherigen Gläubiger geltend machen.</w:t>
      </w:r>
    </w:p>
    <w:p>
      <w:r>
        <w:rPr>
          <w:color w:val="555555"/>
          <w:sz w:val="17"/>
        </w:rPr>
        <w:t xml:space="preserve">Zitiervorschlag: § 254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