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InsO — Aufhebung der Sicherungsmaßnahmen</w:t>
      </w:r>
    </w:p>
    <w:p>
      <w:r>
        <w:rPr>
          <w:color w:val="555555"/>
          <w:sz w:val="18"/>
        </w:rPr>
        <w:t xml:space="preserve">Insolvenzordnung</w:t>
      </w:r>
    </w:p>
    <w:p>
      <w:r>
        <w:rPr>
          <w:color w:val="555555"/>
          <w:sz w:val="18"/>
        </w:rPr>
        <w:t xml:space="preserve">Stand: 10.06.2019 (konsolidierte Textfassung, kein amtliches Inkrafttretensdatum)</w:t>
      </w:r>
    </w:p>
    <w:p>
      <w:r>
        <w:t xml:space="preserve">(1) Werden die Sicherungsmaßnahmen aufgehoben, so gilt für die Bekanntmachung der Aufhebung einer Verfügungsbeschränkung § 23 entsprechend.</w:t>
      </w:r>
    </w:p>
    <w:p>
      <w:r>
        <w:t xml:space="preserve">(2) Ist die Verfügungsbefugnis über das Vermögen des Schuldners auf einen vorläufigen Insolvenzverwalter übergegangen, so hat dieser vor der Aufhebung seiner Bestellung aus dem von ihm verwalteten Vermögen die entstandenen Kosten zu berichtigen und die von ihm begründeten Verbindlichkeiten zu erfüllen. Gleiches gilt für die Verbindlichkeiten aus einem Dauerschuldverhältnis, soweit der vorläufige Insolvenzverwalter für das von ihm verwaltete Vermögen die Gegenleistung in Anspruch genommen hat.</w:t>
      </w:r>
    </w:p>
    <w:p>
      <w:r>
        <w:rPr>
          <w:color w:val="555555"/>
          <w:sz w:val="17"/>
        </w:rPr>
        <w:t xml:space="preserve">Zitiervorschlag: § 25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