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247 InsO — Zustimmung des Schuldners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Zustimmung des Schuldners zum Plan gilt als erteilt, wenn der Schuldner dem Plan nicht spätestens im Abstimmungstermin schriftlich widerspricht.</w:t>
      </w:r>
    </w:p>
    <w:p>
      <w:r>
        <w:t xml:space="preserve">(2) Ein Widerspruch ist im Rahmen des Absatzes 1 unbeachtlich, wenn</w:t>
      </w:r>
    </w:p>
    <w:p>
      <w:pPr>
        <w:ind w:left="420"/>
      </w:pPr>
      <w:r>
        <w:t xml:space="preserve">1. der Schuldner durch den Plan voraussichtlich nicht schlechter gestellt wird, als er ohne einen Plan stünde, und</w:t>
      </w:r>
    </w:p>
    <w:p>
      <w:pPr>
        <w:ind w:left="420"/>
      </w:pPr>
      <w:r>
        <w:t xml:space="preserve">2. kein Gläubiger einen wirtschaftlichen Wert erhält, der den vollen Betrag seines Anspruchs übersteigt.</w:t>
      </w:r>
    </w:p>
    <w:p>
      <w:r>
        <w:rPr>
          <w:color w:val="555555"/>
          <w:sz w:val="17"/>
        </w:rPr>
        <w:t xml:space="preserve">Zitiervorschlag: § 247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