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246 InsO — Zustimmung nachrangiger Insolvenzgläubiger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Annahme des Insolvenzplans durch die nachrangigen Insolvenzgläubiger gelten ergänzend folgende Bestimmungen:</w:t>
      </w:r>
    </w:p>
    <w:p>
      <w:pPr>
        <w:ind w:left="420"/>
      </w:pPr>
      <w:r>
        <w:t xml:space="preserve">1. Die Zustimmung der Gruppen mit einem Rang hinter § 39 Abs. 1 Nr. 3 gilt als erteilt, wenn kein Insolvenzgläubiger durch den Plan besser gestellt wird als die Gläubiger dieser Gruppen.</w:t>
      </w:r>
    </w:p>
    <w:p>
      <w:pPr>
        <w:ind w:left="420"/>
      </w:pPr>
      <w:r>
        <w:t xml:space="preserve">2. Beteiligt sich kein Gläubiger einer Gruppe an der Abstimmung, so gilt die Zustimmung der Gruppe als erteilt.</w:t>
      </w:r>
    </w:p>
    <w:p>
      <w:r>
        <w:rPr>
          <w:color w:val="555555"/>
          <w:sz w:val="17"/>
        </w:rPr>
        <w:t xml:space="preserve">Zitiervorschlag: § 246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