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242 InsO — Schriftliche Abstimmung</w:t>
      </w:r>
    </w:p>
    <w:p>
      <w:r>
        <w:rPr>
          <w:color w:val="555555"/>
          <w:sz w:val="18"/>
        </w:rPr>
        <w:t xml:space="preserve">Insolvenzordnung</w:t>
      </w:r>
    </w:p>
    <w:p>
      <w:r>
        <w:rPr>
          <w:color w:val="555555"/>
          <w:sz w:val="18"/>
        </w:rPr>
        <w:t xml:space="preserve">Stand: 10.06.2019 (konsolidierte Textfassung, kein amtliches Inkrafttretensdatum)</w:t>
      </w:r>
    </w:p>
    <w:p>
      <w:r>
        <w:t xml:space="preserve">(1) Ist ein gesonderter Abstimmungstermin bestimmt, so kann das Stimmrecht schriftlich ausgeübt werden.</w:t>
      </w:r>
    </w:p>
    <w:p>
      <w:r>
        <w:t xml:space="preserve">(2) Das Insolvenzgericht übersendet den stimmberechtigten Beteiligten nach dem Erörterungstermin den Stimmzettel und teilt ihnen dabei ihr Stimmrecht mit. Die schriftliche Stimmabgabe wird nur berücksichtigt, wenn sie dem Gericht spätestens am Tag vor dem Abstimmungstermin zugegangen ist; darauf ist bei der Übersendung des Stimmzettels hinzuweisen.</w:t>
      </w:r>
    </w:p>
    <w:p>
      <w:r>
        <w:rPr>
          <w:color w:val="555555"/>
          <w:sz w:val="17"/>
        </w:rPr>
        <w:t xml:space="preserve">Zitiervorschlag: § 242 InsO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https://recht.nulegal.eu/gesetze/InsO/242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