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InsO — Wirkungen der Verfügungsbeschränkungen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einem Verstoß gegen eine der in § 21 Abs. 2 Nr. 2 vorgesehenen Verfügungsbeschränkungen gelten die §§ 81, 82 entsprechend.</w:t>
      </w:r>
    </w:p>
    <w:p>
      <w:r>
        <w:t xml:space="preserve">(2) Ist die Verfügungsbefugnis über das Vermögen des Schuldners auf einen vorläufigen Insolvenzverwalter übergegangen, so gelten für die Aufnahme anhängiger Rechtsstreitigkeiten § 85 Abs. 1 Satz 1 und § 86 entsprechend.</w:t>
      </w:r>
    </w:p>
    <w:p>
      <w:r>
        <w:rPr>
          <w:color w:val="555555"/>
          <w:sz w:val="17"/>
        </w:rPr>
        <w:t xml:space="preserve">Zitiervorschlag: § 24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