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238a InsO — Stimmrecht der Anteilsinhaber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Stimmrecht der Anteilsinhaber des Schuldners bestimmt sich allein nach deren Beteiligung am gezeichneten Kapital oder Vermögen des Schuldners. Stimmrechtsbeschränkungen, Sonder- oder Mehrstimmrechte bleiben außer Betracht.</w:t>
      </w:r>
    </w:p>
    <w:p>
      <w:r>
        <w:t xml:space="preserve">(2) § 237 Absatz 2 gilt entsprechend.</w:t>
      </w:r>
    </w:p>
    <w:p>
      <w:r>
        <w:rPr>
          <w:color w:val="555555"/>
          <w:sz w:val="17"/>
        </w:rPr>
        <w:t xml:space="preserve">Zitiervorschlag: § 238a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