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235 InsO — Erörterungs- und Abstimmungstermin</w:t>
      </w:r>
    </w:p>
    <w:p>
      <w:r>
        <w:rPr>
          <w:color w:val="555555"/>
          <w:sz w:val="18"/>
        </w:rPr>
        <w:t xml:space="preserve">Insolvenzordnung</w:t>
      </w:r>
    </w:p>
    <w:p>
      <w:r>
        <w:rPr>
          <w:color w:val="555555"/>
          <w:sz w:val="18"/>
        </w:rPr>
        <w:t xml:space="preserve">Stand: 01.01.2021 (konsolidierte Textfassung, kein amtliches Inkrafttretensdatum)</w:t>
      </w:r>
    </w:p>
    <w:p>
      <w:r>
        <w:t xml:space="preserve">(1) Das Insolvenzgericht bestimmt einen Termin, in dem der Insolvenzplan und das Stimmrecht der Beteiligten erörtert werden und anschließend über den Plan abgestimmt wird (Erörterungs- und Abstimmungstermin). Der Termin soll nicht über einen Monat hinaus angesetzt werden. Er kann gleichzeitig mit der Einholung der Stellungnahmen nach § 232 anberaumt werden.</w:t>
      </w:r>
    </w:p>
    <w:p>
      <w:r>
        <w:t xml:space="preserve">(2) Der Erörterungs- und Abstimmungstermin ist öffentlich bekanntzumachen. Dabei ist darauf hinzuweisen, daß der Plan und die eingegangenen Stellungnahmen in der Geschäftsstelle eingesehen werden können. § 74 Abs. 2 Satz 2 gilt entsprechend.</w:t>
      </w:r>
    </w:p>
    <w:p>
      <w:r>
        <w:t xml:space="preserve">(3) Die Insolvenzgläubiger, die Forderungen angemeldet haben, die absonderungsberechtigten Gläubiger, der Insolvenzverwalter, der Schuldner, der Betriebsrat und der Sprecherausschuß der leitenden Angestellten sind besonders zu laden. Mit der Ladung ist ein Abdruck des Plans oder eine Zusammenfassung seines wesentlichen Inhalts, die der Vorlegende auf Aufforderung einzureichen hat, zu übersenden. Sind die Anteils- oder Mitgliedschaftsrechte der am Schuldner beteiligten Personen in den Plan einbezogen, so sind auch diese Personen gemäß den Sätzen 1 und 2 zu laden; dies gilt nicht für Aktionäre oder Kommanditaktionäre. § 8 Absatz 3 gilt entsprechend. Für börsennotierte Gesellschaften findet § 121 Absatz 4a des Aktiengesetzes entsprechende Anwendung; sie haben eine Zusammenfassung des wesentlichen Inhalts des Plans über ihre Internetseite zugänglich zu machen.</w:t>
      </w:r>
    </w:p>
    <w:p>
      <w:r>
        <w:rPr>
          <w:color w:val="555555"/>
          <w:sz w:val="17"/>
        </w:rPr>
        <w:t xml:space="preserve">Zitiervorschlag: § 235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