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InsO — Bekanntmachung der Verfügungsbeschränkungen</w:t>
      </w:r>
    </w:p>
    <w:p>
      <w:r>
        <w:rPr>
          <w:color w:val="555555"/>
          <w:sz w:val="18"/>
        </w:rPr>
        <w:t xml:space="preserve">Insolvenzordnung</w:t>
      </w:r>
    </w:p>
    <w:p>
      <w:r>
        <w:rPr>
          <w:color w:val="555555"/>
          <w:sz w:val="18"/>
        </w:rPr>
        <w:t xml:space="preserve">Stand: 01.01.2026 (konsolidierte Textfassung, kein amtliches Inkrafttretensdatum)</w:t>
      </w:r>
    </w:p>
    <w:p>
      <w:r>
        <w:t xml:space="preserve">(1) Der Beschluß, durch den eine der in § 21 Abs. 2 Nr. 2 vorgesehenen Verfügungsbeschränkungen angeordnet und ein vorläufiger Insolvenzverwalter bestellt wird, ist öffentlich bekanntzumachen. Er ist dem Schuldner, den Personen, die Verpflichtungen gegenüber dem Schuldner haben, und dem vorläufigen Insolvenzverwalter besonders zuzustellen. Die Schuldner des Schuldners sind zugleich aufzufordern, nur noch unter Beachtung des Beschlusses zu leisten.</w:t>
      </w:r>
    </w:p>
    <w:p>
      <w:r>
        <w:t xml:space="preserve">(2) Ist der Schuldner im Handels-, Genossenschafts-, Gesellschafts-, Partnerschafts- oder Vereinsregister eingetragen, so hat die Geschäftsstelle des Insolvenzgerichts dem Registergericht eine Ausfertigung des Beschlusses zu übermitteln.</w:t>
      </w:r>
    </w:p>
    <w:p>
      <w:r>
        <w:t xml:space="preserve">(3) Für die Eintragung der Verfügungsbeschränkung im Grundbuch, im Schiffsregister, im Schiffsbauregister und im Register über Pfandrechte an Luftfahrzeugen gelten die §§ 32, 33 entsprechend.</w:t>
      </w:r>
    </w:p>
    <w:p>
      <w:r>
        <w:rPr>
          <w:color w:val="555555"/>
          <w:sz w:val="17"/>
        </w:rPr>
        <w:t xml:space="preserve">Zitiervorschlag: § 23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