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229 InsO — Vermögensübersicht. Ergebnis- und Finanzplan</w:t>
      </w:r>
    </w:p>
    <w:p>
      <w:r>
        <w:rPr>
          <w:color w:val="555555"/>
          <w:sz w:val="18"/>
        </w:rPr>
        <w:t xml:space="preserve">Insolvenzordnung</w:t>
      </w:r>
    </w:p>
    <w:p>
      <w:r>
        <w:rPr>
          <w:color w:val="555555"/>
          <w:sz w:val="18"/>
        </w:rPr>
        <w:t xml:space="preserve">Stand: 10.06.2019 (konsolidierte Textfassung, kein amtliches Inkrafttretensdatum)</w:t>
      </w:r>
    </w:p>
    <w:p>
      <w:r>
        <w:t xml:space="preserve">Sollen die Gläubiger aus den Erträgen des vom Schuldner oder von einem Dritten fortgeführten Unternehmens befriedigt werden, so ist dem Insolvenzplan eine Vermögensübersicht beizufügen, in der die Vermögensgegenstände und die Verbindlichkeiten, die sich bei einem Wirksamwerden des Plans gegenüberstünden, mit ihren Werten aufgeführt werden. Ergänzend ist darzustellen, welche Aufwendungen und Erträge für den Zeitraum, während dessen die Gläubiger befriedigt werden sollen, zu erwarten sind und durch welche Abfolge von Einnahmen und Ausgaben die Zahlungsfähigkeit des Unternehmens während dieses Zeitraums gewährleistet werden soll. Dabei sind auch die Gläubiger zu berücksichtigen, die zwar ihre Forderungen nicht angemeldet haben, jedoch bei der Ausarbeitung des Plans bekannt sind.</w:t>
      </w:r>
    </w:p>
    <w:p>
      <w:r>
        <w:rPr>
          <w:color w:val="555555"/>
          <w:sz w:val="17"/>
        </w:rPr>
        <w:t xml:space="preserve">Zitiervorschlag: § 229 InsO</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https://recht.nulegal.eu/gesetze/InsO/229</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