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228 InsO — Änderung sachenrechtlicher Verhältnisse</w:t>
      </w:r>
    </w:p>
    <w:p>
      <w:r>
        <w:rPr>
          <w:color w:val="555555"/>
          <w:sz w:val="18"/>
        </w:rPr>
        <w:t xml:space="preserve">Insolvenzordnung</w:t>
      </w:r>
    </w:p>
    <w:p>
      <w:r>
        <w:rPr>
          <w:color w:val="555555"/>
          <w:sz w:val="18"/>
        </w:rPr>
        <w:t xml:space="preserve">Stand: 10.06.2019 (konsolidierte Textfassung, kein amtliches Inkrafttretensdatum)</w:t>
      </w:r>
    </w:p>
    <w:p>
      <w:r>
        <w:t xml:space="preserve">Sollen Rechte an Gegenständen begründet, geändert, übertragen oder aufgehoben werden, so können die erforderlichen Willenserklärungen der Beteiligten in den gestaltenden Teil des Insolvenzplans aufgenommen werden. Sind im Grundbuch eingetragene Rechte an einem Grundstück oder an eingetragenen Rechten betroffen, so sind diese Rechte unter Beachtung des § 28 der Grundbuchordnung genau zu bezeichnen. Für Rechte, die im Schiffsregister, im Schiffsbauregister oder im Register für Pfandrechte an Luftfahrzeugen eingetragen sind, gilt Satz 2 entsprechend.</w:t>
      </w:r>
    </w:p>
    <w:p>
      <w:r>
        <w:rPr>
          <w:color w:val="555555"/>
          <w:sz w:val="17"/>
        </w:rPr>
        <w:t xml:space="preserve">Zitiervorschlag: § 228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