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227 InsO — Haftung des Schuldners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Ist im Insolvenzplan nichts anderes bestimmt, so wird der Schuldner mit der im gestaltenden Teil vorgesehenen Befriedigung der Insolvenzgläubiger von seinen restlichen Verbindlichkeiten gegenüber diesen Gläubigern befreit.</w:t>
      </w:r>
    </w:p>
    <w:p>
      <w:r>
        <w:t xml:space="preserve">(2) Ist der Schuldner eine rechtsfähige Personengesellschaft oder eine Kommanditgesellschaft auf Aktien, so gilt Absatz 1 entsprechend für die persönliche Haftung der Gesellschafter.</w:t>
      </w:r>
    </w:p>
    <w:p>
      <w:r>
        <w:rPr>
          <w:color w:val="555555"/>
          <w:sz w:val="17"/>
        </w:rPr>
        <w:t xml:space="preserve">Zitiervorschlag: § 227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