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225 InsO — Rechte der nachrangigen Insolvenzgläubiger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Forderungen nachrangiger Insolvenzgläubiger gelten, wenn im Insolvenzplan nichts anderes bestimmt ist, als erlassen.</w:t>
      </w:r>
    </w:p>
    <w:p>
      <w:r>
        <w:t xml:space="preserve">(2) Soweit im Plan eine abweichende Regelung getroffen wird, sind im gestaltenden Teil für jede Gruppe der nachrangigen Gläubiger die in § 224 vorgeschriebenen Angaben zu machen.</w:t>
      </w:r>
    </w:p>
    <w:p>
      <w:r>
        <w:t xml:space="preserve">(3) Die Haftung des Schuldners nach der Beendigung des Insolvenzverfahrens für Geldstrafen und die diesen in § 39 Abs. 1 Nr. 3 gleichgestellten Verbindlichkeiten kann durch einen Plan weder ausgeschlossen noch eingeschränkt werden.</w:t>
      </w:r>
    </w:p>
    <w:p>
      <w:r>
        <w:rPr>
          <w:color w:val="555555"/>
          <w:sz w:val="17"/>
        </w:rPr>
        <w:t xml:space="preserve">Zitiervorschlag: § 225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