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218 InsO — Vorlage des Insolvenzplans</w:t>
      </w:r>
    </w:p>
    <w:p>
      <w:r>
        <w:rPr>
          <w:color w:val="555555"/>
          <w:sz w:val="18"/>
        </w:rPr>
        <w:t xml:space="preserve">Insolvenzordnung</w:t>
      </w:r>
    </w:p>
    <w:p>
      <w:r>
        <w:rPr>
          <w:color w:val="555555"/>
          <w:sz w:val="18"/>
        </w:rPr>
        <w:t xml:space="preserve">Stand: 10.06.2019 (konsolidierte Textfassung, kein amtliches Inkrafttretensdatum)</w:t>
      </w:r>
    </w:p>
    <w:p>
      <w:r>
        <w:t xml:space="preserve">(1) Zur Vorlage eines Insolvenzplans an das Insolvenzgericht sind der Insolvenzverwalter und der Schuldner berechtigt. Die Vorlage durch den Schuldner kann mit dem Antrag auf Eröffnung des Insolvenzverfahrens verbunden werden. Ein Plan, der erst nach dem Schlußtermin beim Gericht eingeht, wird nicht berücksichtigt.</w:t>
      </w:r>
    </w:p>
    <w:p>
      <w:r>
        <w:t xml:space="preserve">(2) Hat die Gläubigerversammlung den Verwalter beauftragt, einen Insolvenzplan auszuarbeiten, so hat der Verwalter den Plan binnen angemessener Frist dem Gericht vorzulegen.</w:t>
      </w:r>
    </w:p>
    <w:p>
      <w:r>
        <w:t xml:space="preserve">(3) Bei der Aufstellung des Plans durch den Verwalter wirken der Gläubigerausschuß, wenn ein solcher bestellt ist, der Betriebsrat, der Sprecherausschuß der leitenden Angestellten und der Schuldner beratend mit.</w:t>
      </w:r>
    </w:p>
    <w:p>
      <w:r>
        <w:rPr>
          <w:color w:val="555555"/>
          <w:sz w:val="17"/>
        </w:rPr>
        <w:t xml:space="preserve">Zitiervorschlag: § 218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