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216 InsO — Rechtsmittel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Wird das Insolvenzverfahren nach § 207, 212 oder 213 eingestellt, so steht jedem Insolvenzgläubiger und, wenn die Einstellung nach § 207 erfolgt, dem Schuldner die sofortige Beschwerde zu.</w:t>
      </w:r>
    </w:p>
    <w:p>
      <w:r>
        <w:t xml:space="preserve">(2) Wird ein Antrag nach § 212 oder § 213 abgelehnt, so steht dem Schuldner die sofortige Beschwerde zu.</w:t>
      </w:r>
    </w:p>
    <w:p>
      <w:r>
        <w:rPr>
          <w:color w:val="555555"/>
          <w:sz w:val="17"/>
        </w:rPr>
        <w:t xml:space="preserve">Zitiervorschlag: § 216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https://recht.nulegal.eu/gesetze/InsO/216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