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211 InsO — Einstellung nach Anzeige der Masseunzulänglichkeit</w:t>
      </w:r>
    </w:p>
    <w:p>
      <w:r>
        <w:rPr>
          <w:color w:val="555555"/>
          <w:sz w:val="18"/>
        </w:rPr>
        <w:t xml:space="preserve">Insolvenzordnung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Sobald der Insolvenzverwalter die Insolvenzmasse nach Maßgabe des § 209 verteilt hat, stellt das Insolvenzgericht das Insolvenzverfahren ein.</w:t>
      </w:r>
    </w:p>
    <w:p>
      <w:r>
        <w:t xml:space="preserve">(2) Der Verwalter hat für seine Tätigkeit nach der Anzeige der Masseunzulänglichkeit gesondert Rechnung zu legen.</w:t>
      </w:r>
    </w:p>
    <w:p>
      <w:r>
        <w:t xml:space="preserve">(3) Werden nach der Einstellung des Verfahrens Gegenstände der Insolvenzmasse ermittelt, so ordnet das Gericht auf Antrag des Verwalters oder eines Massegläubigers oder von Amts wegen eine Nachtragsverteilung an. § 203 Abs. 3 und die §§ 204 und 205 gelten entsprechend.</w:t>
      </w:r>
    </w:p>
    <w:p>
      <w:r>
        <w:rPr>
          <w:color w:val="555555"/>
          <w:sz w:val="17"/>
        </w:rPr>
        <w:t xml:space="preserve">Zitiervorschlag: § 211 InsO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https://recht.nulegal.eu/gesetze/InsO/211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