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210a InsO — Insolvenzplan bei Masseunzulänglichkeit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Bei Anzeige der Masseunzulänglichkeit gelten die Vorschriften über den Insolvenzplan mit der Maßgabe, dass</w:t>
      </w:r>
    </w:p>
    <w:p>
      <w:pPr>
        <w:ind w:left="420"/>
      </w:pPr>
      <w:r>
        <w:t xml:space="preserve">1. an die Stelle der nicht nachrangigen Insolvenzgläubiger die Massegläubiger mit dem Rang des § 209 Absatz 1 Nummer 3 treten und</w:t>
      </w:r>
    </w:p>
    <w:p>
      <w:pPr>
        <w:ind w:left="420"/>
      </w:pPr>
      <w:r>
        <w:t xml:space="preserve">2. an die Stelle der nachrangigen Insolvenzgläubiger die nicht nachrangigen Insolvenzgläubiger treten.</w:t>
      </w:r>
    </w:p>
    <w:p>
      <w:r>
        <w:rPr>
          <w:color w:val="555555"/>
          <w:sz w:val="17"/>
        </w:rPr>
        <w:t xml:space="preserve">Zitiervorschlag: § 210a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https://recht.nulegal.eu/gesetze/InsO/210a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