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 InsO — Befriedigung der Massegläubiger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Insolvenzverwalter hat die Masseverbindlichkeiten nach folgender Rangordnung zu berichtigen, bei gleichem Rang nach dem Verhältnis ihrer Beträge:</w:t>
      </w:r>
    </w:p>
    <w:p>
      <w:pPr>
        <w:ind w:left="420"/>
      </w:pPr>
      <w:r>
        <w:t xml:space="preserve">1. die Kosten des Insolvenzverfahrens;</w:t>
      </w:r>
    </w:p>
    <w:p>
      <w:pPr>
        <w:ind w:left="420"/>
      </w:pPr>
      <w:r>
        <w:t xml:space="preserve">2. die Masseverbindlichkeiten, die nach der Anzeige der Masseunzulänglichkeit begründet worden sind, ohne zu den Kosten des Verfahrens zu gehören;</w:t>
      </w:r>
    </w:p>
    <w:p>
      <w:pPr>
        <w:ind w:left="420"/>
      </w:pPr>
      <w:r>
        <w:t xml:space="preserve">3. die übrigen Masseverbindlichkeiten, unter diesen zuletzt der nach den §§ 100, 101 Abs. 1 Satz 3 bewilligte Unterhalt.</w:t>
      </w:r>
    </w:p>
    <w:p>
      <w:r>
        <w:t xml:space="preserve">(2) Als Masseverbindlichkeiten im Sinne des Absatzes 1 Nr. 2 gelten auch die Verbindlichkeiten</w:t>
      </w:r>
    </w:p>
    <w:p>
      <w:pPr>
        <w:ind w:left="420"/>
      </w:pPr>
      <w:r>
        <w:t xml:space="preserve">1. aus einem gegenseitigen Vertrag, dessen Erfüllung der Verwalter gewählt hat, nachdem er die Masseunzulänglichkeit angezeigt hatte;</w:t>
      </w:r>
    </w:p>
    <w:p>
      <w:pPr>
        <w:ind w:left="420"/>
      </w:pPr>
      <w:r>
        <w:t xml:space="preserve">2. aus einem Dauerschuldverhältnis für die Zeit nach dem ersten Termin, zu dem der Verwalter nach der Anzeige der Masseunzulänglichkeit kündigen konnte;</w:t>
      </w:r>
    </w:p>
    <w:p>
      <w:pPr>
        <w:ind w:left="420"/>
      </w:pPr>
      <w:r>
        <w:t xml:space="preserve">3. aus einem Dauerschuldverhältnis, soweit der Verwalter nach der Anzeige der Masseunzulänglichkeit für die Insolvenzmasse die Gegenleistung in Anspruch genommen hat.</w:t>
      </w:r>
    </w:p>
    <w:p>
      <w:r>
        <w:rPr>
          <w:color w:val="555555"/>
          <w:sz w:val="17"/>
        </w:rPr>
        <w:t xml:space="preserve">Zitiervorschlag: § 209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