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208 InsO — Anzeige der Masseunzulänglichkeit</w:t>
      </w:r>
    </w:p>
    <w:p>
      <w:r>
        <w:rPr>
          <w:color w:val="555555"/>
          <w:sz w:val="18"/>
        </w:rPr>
        <w:t xml:space="preserve">Insolvenzordnung</w:t>
      </w:r>
    </w:p>
    <w:p>
      <w:r>
        <w:rPr>
          <w:color w:val="555555"/>
          <w:sz w:val="18"/>
        </w:rPr>
        <w:t xml:space="preserve">Stand: 10.06.2019 (konsolidierte Textfassung, kein amtliches Inkrafttretensdatum)</w:t>
      </w:r>
    </w:p>
    <w:p>
      <w:r>
        <w:t xml:space="preserve">(1) Sind die Kosten des Insolvenzverfahrens gedeckt, reicht die Insolvenzmasse jedoch nicht aus, um die fälligen sonstigen Masseverbindlichkeiten zu erfüllen, so hat der Insolvenzverwalter dem Insolvenzgericht anzuzeigen, daß Masseunzulänglichkeit vorliegt. Gleiches gilt, wenn die Masse voraussichtlich nicht ausreichen wird, um die bestehenden sonstigen Masseverbindlichkeiten im Zeitpunkt der Fälligkeit zu erfüllen.</w:t>
      </w:r>
    </w:p>
    <w:p>
      <w:r>
        <w:t xml:space="preserve">(2) Das Gericht hat die Anzeige der Masseunzulänglichkeit öffentlich bekanntzumachen. Den Massegläubigern ist sie besonders zuzustellen.</w:t>
      </w:r>
    </w:p>
    <w:p>
      <w:r>
        <w:t xml:space="preserve">(3) Die Pflicht des Verwalters zur Verwaltung und zur Verwertung der Masse besteht auch nach der Anzeige der Masseunzulänglichkeit fort.</w:t>
      </w:r>
    </w:p>
    <w:p>
      <w:r>
        <w:rPr>
          <w:color w:val="555555"/>
          <w:sz w:val="17"/>
        </w:rPr>
        <w:t xml:space="preserve">Zitiervorschlag: § 208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