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206 InsO — Ausschluß von Massegläubigern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Massegläubiger, deren Ansprüche dem Insolvenzverwalter</w:t>
      </w:r>
    </w:p>
    <w:p>
      <w:pPr>
        <w:ind w:left="420"/>
      </w:pPr>
      <w:r>
        <w:t xml:space="preserve">1. bei einer Abschlagsverteilung erst nach der Festsetzung des Bruchteils,</w:t>
      </w:r>
    </w:p>
    <w:p>
      <w:pPr>
        <w:ind w:left="420"/>
      </w:pPr>
      <w:r>
        <w:t xml:space="preserve">2. bei der Schlußverteilung erst nach der Beendigung des Schlußtermins oder</w:t>
      </w:r>
    </w:p>
    <w:p>
      <w:pPr>
        <w:ind w:left="420"/>
      </w:pPr>
      <w:r>
        <w:t xml:space="preserve">3. bei einer Nachtragsverteilung erst nach der öffentlichen Bekanntmachung</w:t>
      </w:r>
    </w:p>
    <w:p>
      <w:r>
        <w:t xml:space="preserve">bekanntgeworden sind, können Befriedigung nur aus den Mitteln verlangen, die nach der Verteilung in der Insolvenzmasse verbleiben.</w:t>
      </w:r>
    </w:p>
    <w:p>
      <w:r>
        <w:rPr>
          <w:color w:val="555555"/>
          <w:sz w:val="17"/>
        </w:rPr>
        <w:t xml:space="preserve">Zitiervorschlag: § 206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