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204 InsO — Rechtsmittel</w:t>
      </w:r>
    </w:p>
    <w:p>
      <w:r>
        <w:rPr>
          <w:color w:val="555555"/>
          <w:sz w:val="18"/>
        </w:rPr>
        <w:t xml:space="preserve">Insolvenzordnung</w:t>
      </w:r>
    </w:p>
    <w:p>
      <w:r>
        <w:rPr>
          <w:color w:val="555555"/>
          <w:sz w:val="18"/>
        </w:rPr>
        <w:t xml:space="preserve">Stand: 10.06.2019 (konsolidierte Textfassung, kein amtliches Inkrafttretensdatum)</w:t>
      </w:r>
    </w:p>
    <w:p>
      <w:r>
        <w:t xml:space="preserve">(1) Der Beschluß, durch den der Antrag auf Nachtragsverteilung abgelehnt wird, ist dem Antragsteller zuzustellen. Gegen den Beschluß steht dem Antragsteller die sofortige Beschwerde zu.</w:t>
      </w:r>
    </w:p>
    <w:p>
      <w:r>
        <w:t xml:space="preserve">(2) Der Beschluß, durch den eine Nachtragsverteilung angeordnet wird, ist dem Insolvenzverwalter, dem Schuldner und, wenn ein Gläubiger die Verteilung beantragt hatte, diesem Gläubiger zuzustellen. Gegen den Beschluß steht dem Schuldner die sofortige Beschwerde zu.</w:t>
      </w:r>
    </w:p>
    <w:p>
      <w:r>
        <w:rPr>
          <w:color w:val="555555"/>
          <w:sz w:val="17"/>
        </w:rPr>
        <w:t xml:space="preserve">Zitiervorschlag: § 204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