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203 InsO — Anordnung der Nachtragsverteilung</w:t>
      </w:r>
    </w:p>
    <w:p>
      <w:r>
        <w:rPr>
          <w:color w:val="555555"/>
          <w:sz w:val="18"/>
        </w:rPr>
        <w:t xml:space="preserve">Insolvenzordnung</w:t>
      </w:r>
    </w:p>
    <w:p>
      <w:r>
        <w:rPr>
          <w:color w:val="555555"/>
          <w:sz w:val="18"/>
        </w:rPr>
        <w:t xml:space="preserve">Stand: 10.06.2019 (konsolidierte Textfassung, kein amtliches Inkrafttretensdatum)</w:t>
      </w:r>
    </w:p>
    <w:p>
      <w:r>
        <w:t xml:space="preserve">(1) Auf Antrag des Insolvenzverwalters oder eines Insolvenzgläubigers oder von Amts wegen ordnet das Insolvenzgericht eine Nachtragsverteilung an, wenn nach dem Schlußtermin</w:t>
      </w:r>
    </w:p>
    <w:p>
      <w:pPr>
        <w:ind w:left="420"/>
      </w:pPr>
      <w:r>
        <w:t xml:space="preserve">1. zurückbehaltene Beträge für die Verteilung frei werden,</w:t>
      </w:r>
    </w:p>
    <w:p>
      <w:pPr>
        <w:ind w:left="420"/>
      </w:pPr>
      <w:r>
        <w:t xml:space="preserve">2. Beträge, die aus der Insolvenzmasse gezahlt sind, zurückfließen oder</w:t>
      </w:r>
    </w:p>
    <w:p>
      <w:pPr>
        <w:ind w:left="420"/>
      </w:pPr>
      <w:r>
        <w:t xml:space="preserve">3. Gegenstände der Masse ermittelt werden.</w:t>
      </w:r>
    </w:p>
    <w:p>
      <w:r>
        <w:t xml:space="preserve">(2) Die Aufhebung des Verfahrens steht der Anordnung einer Nachtragsverteilung nicht entgegen.</w:t>
      </w:r>
    </w:p>
    <w:p>
      <w:r>
        <w:t xml:space="preserve">(3) Das Gericht kann von der Anordnung absehen und den zur Verfügung stehenden Betrag oder den ermittelten Gegenstand dem Schuldner überlassen, wenn dies mit Rücksicht auf die Geringfügigkeit des Betrags oder den geringen Wert des Gegenstands und die Kosten einer Nachtragsverteilung angemessen erscheint. Es kann die Anordnung davon abhängig machen, daß ein Geldbetrag vorgeschossen wird, der die Kosten der Nachtragsverteilung deckt.</w:t>
      </w:r>
    </w:p>
    <w:p>
      <w:r>
        <w:rPr>
          <w:color w:val="555555"/>
          <w:sz w:val="17"/>
        </w:rPr>
        <w:t xml:space="preserve">Zitiervorschlag: § 203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