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 InsO — Schlußtermin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Zustimmung zur Schlußverteilung bestimmt das Insolvenzgericht den Termin für eine abschließende Gläubigerversammlung. Dieser Termin dient</w:t>
      </w:r>
    </w:p>
    <w:p>
      <w:pPr>
        <w:ind w:left="420"/>
      </w:pPr>
      <w:r>
        <w:t xml:space="preserve">1. zur Erörterung der Schlußrechnung des Insolvenzverwalters,</w:t>
      </w:r>
    </w:p>
    <w:p>
      <w:pPr>
        <w:ind w:left="420"/>
      </w:pPr>
      <w:r>
        <w:t xml:space="preserve">2. zur Erhebung von Einwendungen gegen das Schlußverzeichnis und</w:t>
      </w:r>
    </w:p>
    <w:p>
      <w:pPr>
        <w:ind w:left="420"/>
      </w:pPr>
      <w:r>
        <w:t xml:space="preserve">3. zur Entscheidung der Gläubiger über die nicht verwertbaren Gegenstände der Insolvenzmasse.</w:t>
      </w:r>
    </w:p>
    <w:p>
      <w:r>
        <w:t xml:space="preserve">(2) Zwischen der öffentlichen Bekanntmachung des Termins und dem Termin soll eine Frist von mindestens einem Monat und höchstens zwei Monaten liegen.</w:t>
      </w:r>
    </w:p>
    <w:p>
      <w:r>
        <w:t xml:space="preserve">(3) Für die Entscheidung des Gerichts über Einwendungen eines Gläubigers gilt § 194 Abs. 2 und 3 entsprechend.</w:t>
      </w:r>
    </w:p>
    <w:p>
      <w:r>
        <w:rPr>
          <w:color w:val="555555"/>
          <w:sz w:val="17"/>
        </w:rPr>
        <w:t xml:space="preserve">Zitiervorschlag: § 197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