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196 InsO — Schlußverteilung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Schlußverteilung erfolgt, sobald die Verwertung der Insolvenzmasse mit Ausnahme eines laufenden Einkommens beendet ist.</w:t>
      </w:r>
    </w:p>
    <w:p>
      <w:r>
        <w:t xml:space="preserve">(2) Die Schlußverteilung darf nur mit Zustimmung des Insolvenzgerichts vorgenommen werden.</w:t>
      </w:r>
    </w:p>
    <w:p>
      <w:r>
        <w:rPr>
          <w:color w:val="555555"/>
          <w:sz w:val="17"/>
        </w:rPr>
        <w:t xml:space="preserve">Zitiervorschlag: § 196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https://recht.nulegal.eu/gesetze/InsO/196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