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195 InsO — Festsetzung des Bruchteils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eine Abschlagsverteilung bestimmt der Gläubigerausschuß auf Vorschlag des Insolvenzverwalters den zu zahlenden Bruchteil. Ist kein Gläubigerausschuß bestellt, so bestimmt der Verwalter den Bruchteil.</w:t>
      </w:r>
    </w:p>
    <w:p>
      <w:r>
        <w:t xml:space="preserve">(2) Der Verwalter hat den Bruchteil den berücksichtigten Gläubigern mitzuteilen.</w:t>
      </w:r>
    </w:p>
    <w:p>
      <w:r>
        <w:rPr>
          <w:color w:val="555555"/>
          <w:sz w:val="17"/>
        </w:rPr>
        <w:t xml:space="preserve">Zitiervorschlag: § 195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https://recht.nulegal.eu/gesetze/InsO/195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