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194 InsO — Einwendungen gegen das Verteilungsverzeichnis</w:t>
      </w:r>
    </w:p>
    <w:p>
      <w:r>
        <w:rPr>
          <w:color w:val="555555"/>
          <w:sz w:val="18"/>
        </w:rPr>
        <w:t xml:space="preserve">Insolvenzordnung</w:t>
      </w:r>
    </w:p>
    <w:p>
      <w:r>
        <w:rPr>
          <w:color w:val="555555"/>
          <w:sz w:val="18"/>
        </w:rPr>
        <w:t xml:space="preserve">Stand: 10.06.2019 (konsolidierte Textfassung, kein amtliches Inkrafttretensdatum)</w:t>
      </w:r>
    </w:p>
    <w:p>
      <w:r>
        <w:t xml:space="preserve">(1) Bei einer Abschlagsverteilung sind Einwendungen eines Gläubigers gegen das Verzeichnis bis zum Ablauf einer Woche nach dem Ende der in § 189 Abs. 1 vorgesehenen Ausschlußfrist bei dem Insolvenzgericht zu erheben.</w:t>
      </w:r>
    </w:p>
    <w:p>
      <w:r>
        <w:t xml:space="preserve">(2) Eine Entscheidung des Gerichts, durch die Einwendungen zurückgewiesen werden, ist dem Gläubiger und dem Insolvenzverwalter zuzustellen. Dem Gläubiger steht gegen den Beschluß die sofortige Beschwerde zu.</w:t>
      </w:r>
    </w:p>
    <w:p>
      <w:r>
        <w:t xml:space="preserve">(3) Eine Entscheidung des Gerichts, durch die eine Berichtigung des Verzeichnisses angeordnet wird, ist dem Gläubiger und dem Verwalter zuzustellen und in der Geschäftsstelle zur Einsicht der Beteiligten niederzulegen. Dem Verwalter und den Insolvenzgläubigern steht gegen den Beschluß die sofortige Beschwerde zu. Die Beschwerdefrist beginnt mit dem Tag, an dem die Entscheidung niedergelegt worden ist.</w:t>
      </w:r>
    </w:p>
    <w:p>
      <w:r>
        <w:rPr>
          <w:color w:val="555555"/>
          <w:sz w:val="17"/>
        </w:rPr>
        <w:t xml:space="preserve">Zitiervorschlag: § 194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https://recht.nulegal.eu/gesetze/InsO/194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