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193 InsO — Änderung des Verteilungsverzeichnisses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Insolvenzverwalter hat die Änderungen des Verzeichnisses, die auf Grund der §§ 189 bis 192 erforderlich werden, binnen drei Tagen nach Ablauf der in § 189 Abs. 1 vorgesehenen Ausschlußfrist vorzunehmen.</w:t>
      </w:r>
    </w:p>
    <w:p>
      <w:r>
        <w:rPr>
          <w:color w:val="555555"/>
          <w:sz w:val="17"/>
        </w:rPr>
        <w:t xml:space="preserve">Zitiervorschlag: § 193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