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192 InsO — Nachträgliche Berücksichtigung</w:t>
      </w:r>
    </w:p>
    <w:p>
      <w:r>
        <w:rPr>
          <w:color w:val="555555"/>
          <w:sz w:val="18"/>
        </w:rPr>
        <w:t xml:space="preserve">Insolvenzordnung</w:t>
      </w:r>
    </w:p>
    <w:p>
      <w:r>
        <w:rPr>
          <w:color w:val="555555"/>
          <w:sz w:val="18"/>
        </w:rPr>
        <w:t xml:space="preserve">Stand: 10.06.2019 (konsolidierte Textfassung, kein amtliches Inkrafttretensdatum)</w:t>
      </w:r>
    </w:p>
    <w:p>
      <w:r>
        <w:t xml:space="preserve">Gläubiger, die bei einer Abschlagsverteilung nicht berücksichtigt worden sind und die Voraussetzungen der §§ 189, 190 nachträglich erfüllen, erhalten bei der folgenden Verteilung aus der restlichen Insolvenzmasse vorab einen Betrag, der sie mit den übrigen Gläubigern gleichstellt.</w:t>
      </w:r>
    </w:p>
    <w:p>
      <w:r>
        <w:rPr>
          <w:color w:val="555555"/>
          <w:sz w:val="17"/>
        </w:rPr>
        <w:t xml:space="preserve">Zitiervorschlag: § 192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https://recht.nulegal.eu/gesetze/InsO/192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