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191 InsO — Berücksichtigung aufschiebend bedingter Forderungen</w:t>
      </w:r>
    </w:p>
    <w:p>
      <w:r>
        <w:rPr>
          <w:color w:val="555555"/>
          <w:sz w:val="18"/>
        </w:rPr>
        <w:t xml:space="preserve">Insolvenzordnung</w:t>
      </w:r>
    </w:p>
    <w:p>
      <w:r>
        <w:rPr>
          <w:color w:val="555555"/>
          <w:sz w:val="18"/>
        </w:rPr>
        <w:t xml:space="preserve">Stand: 10.06.2019 (konsolidierte Textfassung, kein amtliches Inkrafttretensdatum)</w:t>
      </w:r>
    </w:p>
    <w:p>
      <w:r>
        <w:t xml:space="preserve">(1) Eine aufschiebend bedingte Forderung wird bei einer Abschlagsverteilung mit ihrem vollen Betrag berücksichtigt. Der auf die Forderung entfallende Anteil wird bei der Verteilung zurückbehalten.</w:t>
      </w:r>
    </w:p>
    <w:p>
      <w:r>
        <w:t xml:space="preserve">(2) Bei der Schlußverteilung wird eine aufschiebend bedingte Forderung nicht berücksichtigt, wenn die Möglichkeit des Eintritts der Bedingung so fernliegt, daß die Forderung zur Zeit der Verteilung keinen Vermögenswert hat. In diesem Fall wird ein gemäß Absatz 1 Satz 2 zurückbehaltener Anteil für die Schlußverteilung frei.</w:t>
      </w:r>
    </w:p>
    <w:p>
      <w:r>
        <w:rPr>
          <w:color w:val="555555"/>
          <w:sz w:val="17"/>
        </w:rPr>
        <w:t xml:space="preserve">Zitiervorschlag: § 191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