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187 InsO — Befriedigung der Insolvenzgläubiger</w:t>
      </w:r>
    </w:p>
    <w:p>
      <w:r>
        <w:rPr>
          <w:color w:val="555555"/>
          <w:sz w:val="18"/>
        </w:rPr>
        <w:t xml:space="preserve">Insolvenzordnung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Mit der Befriedigung der Insolvenzgläubiger kann erst nach dem allgemeinen Prüfungstermin begonnen werden.</w:t>
      </w:r>
    </w:p>
    <w:p>
      <w:r>
        <w:t xml:space="preserve">(2) Verteilungen an die Insolvenzgläubiger können stattfinden, sooft hinreichende Barmittel in der Insolvenzmasse vorhanden sind. Nachrangige Insolvenzgläubiger sollen bei Abschlagsverteilungen nicht berücksichtigt werden.</w:t>
      </w:r>
    </w:p>
    <w:p>
      <w:r>
        <w:t xml:space="preserve">(3) Die Verteilungen werden vom Insolvenzverwalter vorgenommen. Vor jeder Verteilung hat er die Zustimmung des Gläubigerausschusses einzuholen, wenn ein solcher bestellt ist.</w:t>
      </w:r>
    </w:p>
    <w:p>
      <w:r>
        <w:rPr>
          <w:color w:val="555555"/>
          <w:sz w:val="17"/>
        </w:rPr>
        <w:t xml:space="preserve">Zitiervorschlag: § 187 InsO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https://recht.nulegal.eu/gesetze/InsO/187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