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183 InsO — Wirkung der Entscheidung</w:t>
      </w:r>
    </w:p>
    <w:p>
      <w:r>
        <w:rPr>
          <w:color w:val="555555"/>
          <w:sz w:val="18"/>
        </w:rPr>
        <w:t xml:space="preserve">Insolvenzordnung</w:t>
      </w:r>
    </w:p>
    <w:p>
      <w:r>
        <w:rPr>
          <w:color w:val="555555"/>
          <w:sz w:val="18"/>
        </w:rPr>
        <w:t xml:space="preserve">Stand: 10.06.2019 (konsolidierte Textfassung, kein amtliches Inkrafttretensdatum)</w:t>
      </w:r>
    </w:p>
    <w:p>
      <w:r>
        <w:t xml:space="preserve">(1) Eine rechtskräftige Entscheidung, durch die eine Forderung festgestellt oder ein Widerspruch für begründet erklärt wird, wirkt gegenüber dem Insolvenzverwalter und allen Insolvenzgläubigern.</w:t>
      </w:r>
    </w:p>
    <w:p>
      <w:r>
        <w:t xml:space="preserve">(2) Der obsiegenden Partei obliegt es, beim Insolvenzgericht die Berichtigung der Tabelle zu beantragen.</w:t>
      </w:r>
    </w:p>
    <w:p>
      <w:r>
        <w:t xml:space="preserve">(3) Haben nur einzelne Gläubiger, nicht der Verwalter, den Rechtsstreit geführt, so können diese Gläubiger die Erstattung ihrer Kosten aus der Insolvenzmasse insoweit verlangen, als der Masse durch die Entscheidung ein Vorteil erwachsen ist.</w:t>
      </w:r>
    </w:p>
    <w:p>
      <w:r>
        <w:rPr>
          <w:color w:val="555555"/>
          <w:sz w:val="17"/>
        </w:rPr>
        <w:t xml:space="preserve">Zitiervorschlag: § 183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