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181 InsO — Umfang der Feststellung</w:t>
      </w:r>
    </w:p>
    <w:p>
      <w:r>
        <w:rPr>
          <w:color w:val="555555"/>
          <w:sz w:val="18"/>
        </w:rPr>
        <w:t xml:space="preserve">Insolvenzordnung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Feststellung kann nach Grund, Betrag und Rang der Forderung nur in der Weise begehrt werden, wie die Forderung in der Anmeldung oder im Prüfungstermin bezeichnet worden ist.</w:t>
      </w:r>
    </w:p>
    <w:p>
      <w:r>
        <w:rPr>
          <w:color w:val="555555"/>
          <w:sz w:val="17"/>
        </w:rPr>
        <w:t xml:space="preserve">Zitiervorschlag: § 181 InsO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https://recht.nulegal.eu/gesetze/InsO/181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