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InsO — Drohende Zahlungsunfähigkeit</w:t>
      </w:r>
    </w:p>
    <w:p>
      <w:r>
        <w:rPr>
          <w:color w:val="555555"/>
          <w:sz w:val="18"/>
        </w:rPr>
        <w:t xml:space="preserve">Insolvenzordnung</w:t>
      </w:r>
    </w:p>
    <w:p>
      <w:r>
        <w:rPr>
          <w:color w:val="555555"/>
          <w:sz w:val="18"/>
        </w:rPr>
        <w:t xml:space="preserve">Stand: 01.01.2024 (konsolidierte Textfassung, kein amtliches Inkrafttretensdatum)</w:t>
      </w:r>
    </w:p>
    <w:p>
      <w:r>
        <w:t xml:space="preserve">(1) Beantragt der Schuldner die Eröffnung des Insolvenzverfahrens, so ist auch die drohende Zahlungsunfähigkeit Eröffnungsgrund.</w:t>
      </w:r>
    </w:p>
    <w:p>
      <w:r>
        <w:t xml:space="preserve">(2) Der Schuldner droht zahlungsunfähig zu werden, wenn er voraussichtlich nicht in der Lage sein wird, die bestehenden Zahlungspflichten im Zeitpunkt der Fälligkeit zu erfüllen. In aller Regel ist ein Prognosezeitraum von 24 Monaten zugrunde zu legen.</w:t>
      </w:r>
    </w:p>
    <w:p>
      <w:r>
        <w:t xml:space="preserve">(3) Wird bei einer juristischen Person oder einer rechtsfähigen Personengesellschaft der Antrag nicht von allen Mitgliedern des Vertretungsorgans, allen persönlich haftenden Gesellschaftern oder allen Abwicklern gestellt, so ist Absatz 1 nur anzuwenden, wenn der oder die Antragsteller zur Vertretung der juristischen Person oder der Gesellschaft berechtigt sind.</w:t>
      </w:r>
    </w:p>
    <w:p>
      <w:r>
        <w:rPr>
          <w:color w:val="555555"/>
          <w:sz w:val="17"/>
        </w:rPr>
        <w:t xml:space="preserve">Zitiervorschlag: § 18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