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179 InsO — Streitige Forderungen</w:t>
      </w:r>
    </w:p>
    <w:p>
      <w:r>
        <w:rPr>
          <w:color w:val="555555"/>
          <w:sz w:val="18"/>
        </w:rPr>
        <w:t xml:space="preserve">Insolvenzordnung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eine Forderung vom Insolvenzverwalter oder von einem Insolvenzgläubiger bestritten worden, so bleibt es dem Gläubiger überlassen, die Feststellung gegen den Bestreitenden zu betreiben.</w:t>
      </w:r>
    </w:p>
    <w:p>
      <w:r>
        <w:t xml:space="preserve">(2) Liegt für eine solche Forderung ein vollstreckbarer Schuldtitel oder ein Endurteil vor, so obliegt es dem Bestreitenden, den Widerspruch zu verfolgen.</w:t>
      </w:r>
    </w:p>
    <w:p>
      <w:r>
        <w:t xml:space="preserve">(3) Das Insolvenzgericht erteilt dem Gläubiger, dessen Forderung bestritten worden ist, einen beglaubigten Auszug aus der Tabelle. Im Falle des Absatzes 2 erhält auch der Bestreitende einen solchen Auszug. Die Gläubiger, deren Forderungen festgestellt worden sind, werden nicht benachrichtigt; hierauf sollen die Gläubiger vor dem Prüfungstermin hingewiesen werden.</w:t>
      </w:r>
    </w:p>
    <w:p>
      <w:r>
        <w:rPr>
          <w:color w:val="555555"/>
          <w:sz w:val="17"/>
        </w:rPr>
        <w:t xml:space="preserve">Zitiervorschlag: § 179 InsO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https://recht.nulegal.eu/gesetze/InsO/179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